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EB1" w:rsidTr="00051EB1">
        <w:tc>
          <w:tcPr>
            <w:tcW w:w="9062" w:type="dxa"/>
          </w:tcPr>
          <w:p w:rsidR="005A690A" w:rsidRPr="00E17DD3" w:rsidRDefault="00051EB1" w:rsidP="005A69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</w:pPr>
            <w:r w:rsidRPr="00E17DD3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DIKTAS</w:t>
            </w:r>
            <w:r w:rsidR="002C3675">
              <w:rPr>
                <w:rFonts w:ascii="Arial" w:eastAsia="Times New Roman" w:hAnsi="Arial" w:cs="Arial"/>
                <w:b/>
                <w:sz w:val="23"/>
                <w:szCs w:val="23"/>
                <w:lang w:val="sr-Cyrl-RS" w:eastAsia="bs-Latn-BA"/>
              </w:rPr>
              <w:t xml:space="preserve"> </w:t>
            </w:r>
            <w:r w:rsidR="00C738A5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-</w:t>
            </w:r>
            <w:r w:rsidR="00DF66EE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 xml:space="preserve"> </w:t>
            </w:r>
            <w:r w:rsidR="002C3675" w:rsidRPr="002C3675">
              <w:rPr>
                <w:rFonts w:ascii="Arial" w:eastAsia="Times New Roman" w:hAnsi="Arial" w:cs="Arial"/>
                <w:b/>
                <w:noProof/>
                <w:sz w:val="23"/>
                <w:szCs w:val="23"/>
                <w:lang w:val="sr-Cyrl-RS" w:eastAsia="bs-Latn-BA"/>
              </w:rPr>
              <w:t>„Заштита и одрживо кориштење прекограничног система водоносника динарског крша“</w:t>
            </w:r>
          </w:p>
        </w:tc>
      </w:tr>
    </w:tbl>
    <w:p w:rsidR="00051EB1" w:rsidRDefault="00051EB1" w:rsidP="00B910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</w:p>
    <w:p w:rsidR="002C3675" w:rsidRPr="002C3675" w:rsidRDefault="002C3675" w:rsidP="00B910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Пројекат „Заштита и одрживо кориштење прекограничног система водоносника динарског крша“ (</w:t>
      </w:r>
      <w:r w:rsidRPr="002C3675">
        <w:rPr>
          <w:rFonts w:ascii="Arial" w:eastAsia="Times New Roman" w:hAnsi="Arial" w:cs="Arial"/>
          <w:noProof/>
          <w:sz w:val="23"/>
          <w:szCs w:val="23"/>
          <w:lang w:val="sr-Latn-RS" w:eastAsia="bs-Latn-BA"/>
        </w:rPr>
        <w:t>Dinaric Karst Aquifer System - DIKTAS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) је регионални пројекат који су проводили: </w:t>
      </w:r>
      <w:r w:rsidRPr="002C3675">
        <w:rPr>
          <w:rFonts w:ascii="Arial" w:eastAsia="Times New Roman" w:hAnsi="Arial" w:cs="Arial"/>
          <w:noProof/>
          <w:sz w:val="23"/>
          <w:szCs w:val="23"/>
          <w:lang w:val="sr-Latn-RS" w:eastAsia="bs-Latn-BA"/>
        </w:rPr>
        <w:t>UNDP </w:t>
      </w:r>
      <w:hyperlink r:id="rId5" w:history="1">
        <w:r w:rsidRPr="002C3675">
          <w:rPr>
            <w:rFonts w:ascii="Arial" w:eastAsia="Times New Roman" w:hAnsi="Arial" w:cs="Arial"/>
            <w:noProof/>
            <w:color w:val="0000FF"/>
            <w:sz w:val="23"/>
            <w:szCs w:val="23"/>
            <w:u w:val="single"/>
            <w:lang w:val="sr-Latn-RS" w:eastAsia="bs-Latn-BA"/>
          </w:rPr>
          <w:t>www.undp.org</w:t>
        </w:r>
      </w:hyperlink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 и </w:t>
      </w:r>
      <w:r w:rsidRPr="002C3675">
        <w:rPr>
          <w:rFonts w:ascii="Arial" w:eastAsia="Times New Roman" w:hAnsi="Arial" w:cs="Arial"/>
          <w:noProof/>
          <w:sz w:val="23"/>
          <w:szCs w:val="23"/>
          <w:lang w:val="sr-Latn-RS" w:eastAsia="bs-Latn-BA"/>
        </w:rPr>
        <w:t>UNESCO </w:t>
      </w:r>
      <w:hyperlink r:id="rId6" w:history="1">
        <w:r w:rsidRPr="002C3675">
          <w:rPr>
            <w:rFonts w:ascii="Arial" w:eastAsia="Times New Roman" w:hAnsi="Arial" w:cs="Arial"/>
            <w:noProof/>
            <w:color w:val="0000FF"/>
            <w:sz w:val="23"/>
            <w:szCs w:val="23"/>
            <w:u w:val="single"/>
            <w:lang w:val="sr-Latn-RS" w:eastAsia="bs-Latn-BA"/>
          </w:rPr>
          <w:t>www.unesco.org</w:t>
        </w:r>
      </w:hyperlink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, а финансирао</w:t>
      </w:r>
      <w:r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 </w:t>
      </w:r>
      <w:r w:rsidRPr="002C3675">
        <w:rPr>
          <w:rFonts w:ascii="Arial" w:eastAsia="Times New Roman" w:hAnsi="Arial" w:cs="Arial"/>
          <w:noProof/>
          <w:sz w:val="23"/>
          <w:szCs w:val="23"/>
          <w:lang w:val="sr-Latn-RS" w:eastAsia="bs-Latn-BA"/>
        </w:rPr>
        <w:t xml:space="preserve">GEF </w:t>
      </w:r>
      <w:hyperlink r:id="rId7" w:history="1">
        <w:r w:rsidRPr="002C3675">
          <w:rPr>
            <w:rFonts w:ascii="Arial" w:eastAsia="Times New Roman" w:hAnsi="Arial" w:cs="Arial"/>
            <w:noProof/>
            <w:color w:val="0000FF"/>
            <w:sz w:val="23"/>
            <w:szCs w:val="23"/>
            <w:u w:val="single"/>
            <w:lang w:val="sr-Latn-RS" w:eastAsia="bs-Latn-BA"/>
          </w:rPr>
          <w:t>www.gef.org</w:t>
        </w:r>
      </w:hyperlink>
      <w:r w:rsidRPr="002C3675">
        <w:rPr>
          <w:rFonts w:ascii="Arial" w:eastAsia="Times New Roman" w:hAnsi="Arial" w:cs="Arial"/>
          <w:noProof/>
          <w:sz w:val="23"/>
          <w:szCs w:val="23"/>
          <w:lang w:val="sr-Latn-RS" w:eastAsia="bs-Latn-BA"/>
        </w:rPr>
        <w:t>.</w:t>
      </w:r>
    </w:p>
    <w:tbl>
      <w:tblPr>
        <w:tblW w:w="75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7"/>
        <w:gridCol w:w="4685"/>
      </w:tblGrid>
      <w:tr w:rsidR="000610D3" w:rsidRPr="000610D3" w:rsidTr="000610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10D3" w:rsidRPr="000610D3" w:rsidRDefault="000610D3" w:rsidP="000610D3">
            <w:pPr>
              <w:spacing w:after="27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s-Latn-BA"/>
              </w:rPr>
            </w:pPr>
            <w:r w:rsidRPr="000610D3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val="en-US"/>
              </w:rPr>
              <w:drawing>
                <wp:inline distT="0" distB="0" distL="0" distR="0" wp14:anchorId="67C08C05" wp14:editId="2A3BFA64">
                  <wp:extent cx="2609850" cy="1533525"/>
                  <wp:effectExtent l="0" t="0" r="0" b="9525"/>
                  <wp:docPr id="7" name="Picture 7" descr="http://www.mvteo.gov.ba/images/DIKTA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vteo.gov.ba/images/DIKTA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10D3" w:rsidRPr="000610D3" w:rsidRDefault="000610D3" w:rsidP="000610D3">
            <w:pPr>
              <w:spacing w:after="27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s-Latn-BA"/>
              </w:rPr>
            </w:pPr>
            <w:r w:rsidRPr="000610D3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val="en-US"/>
              </w:rPr>
              <w:drawing>
                <wp:inline distT="0" distB="0" distL="0" distR="0" wp14:anchorId="60C879DA" wp14:editId="3A55737D">
                  <wp:extent cx="2790825" cy="1533525"/>
                  <wp:effectExtent l="0" t="0" r="9525" b="9525"/>
                  <wp:docPr id="8" name="Picture 8" descr="http://www.mvteo.gov.ba/images/DIKTA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vteo.gov.ba/images/DIKTA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675" w:rsidRPr="002C3675" w:rsidRDefault="002C3675" w:rsidP="00FF73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Динарски крашки аквифери (водоносници) су једни од највећих у свијету и</w:t>
      </w:r>
      <w:r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 идеја је била да се кроз овај П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ројекат:</w:t>
      </w:r>
    </w:p>
    <w:p w:rsidR="002C3675" w:rsidRPr="002C3675" w:rsidRDefault="002C3675" w:rsidP="00FF73E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олакша равноправно и одрживо кориштење прекограничних динарских водних система, као и да се заштити јединствени екосистем карактеристичан за подручје Балканског полуострва; </w:t>
      </w:r>
    </w:p>
    <w:p w:rsidR="002C3675" w:rsidRPr="002C3675" w:rsidRDefault="002C3675" w:rsidP="00FF73E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створе услови за равноправну и одрживу употребу и газдовање над прекограничним водним ресурсима Система водоносника динарског крша;</w:t>
      </w:r>
    </w:p>
    <w:p w:rsidR="002C3675" w:rsidRPr="002C3675" w:rsidRDefault="002C3675" w:rsidP="00FF73E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унаприједи научно разумијевање система у свим земљама које дијеле тај водоносник, што је потребно како би се постигао свјестан консензус по питању фактора који угрожавају његов интегритет на националном и прекограничном нивоу; </w:t>
      </w:r>
    </w:p>
    <w:p w:rsidR="002C3675" w:rsidRPr="002C3675" w:rsidRDefault="002C3675" w:rsidP="00FF73E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изгради политички консензус око релевантних кључних приоритетних реформи и нових политика у региону динарског крша;</w:t>
      </w:r>
    </w:p>
    <w:p w:rsidR="002C3675" w:rsidRPr="002C3675" w:rsidRDefault="002C3675" w:rsidP="00FF73E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појача координација међу земљама, донаторима, пројектима и агенцијама;</w:t>
      </w:r>
    </w:p>
    <w:p w:rsidR="002C3675" w:rsidRPr="002C3675" w:rsidRDefault="002C3675" w:rsidP="00FF73E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консолидирају националне и међународне подршке; </w:t>
      </w:r>
    </w:p>
    <w:p w:rsidR="002C3675" w:rsidRPr="002C3675" w:rsidRDefault="002C3675" w:rsidP="00FF73E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јача свијест у јавности и укључе </w:t>
      </w:r>
      <w:r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заинтересоване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 стране;</w:t>
      </w:r>
    </w:p>
    <w:p w:rsidR="002C3675" w:rsidRPr="002C3675" w:rsidRDefault="002C3675" w:rsidP="00FF73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У П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ројекат су биле укључене четири земље из региона које дијеле овај систем водоносника (аквифера) динарског крша: Албанија, Босна и Херцеговина, Хрватска и Црна Гора. </w:t>
      </w:r>
    </w:p>
    <w:p w:rsidR="002C3675" w:rsidRPr="002C3675" w:rsidRDefault="002C3675" w:rsidP="00FF73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Са имплементацијом </w:t>
      </w:r>
      <w:bookmarkStart w:id="0" w:name="_GoBack"/>
      <w:r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П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ро</w:t>
      </w:r>
      <w:bookmarkEnd w:id="0"/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јекта се кренуло 2010. године, након одобравања пројектног документа од стране </w:t>
      </w:r>
      <w:r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Савјета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 министара БиХ.</w:t>
      </w:r>
    </w:p>
    <w:p w:rsidR="002C3675" w:rsidRPr="00FF73E1" w:rsidRDefault="002C3675" w:rsidP="00FF73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За имплементацију П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ројекта испред БиХ задужено је било Министарство </w:t>
      </w:r>
      <w:r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спољне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 трговине и економских односа БиХ уз сарадњу са надлежним ентитетским министарствима (Федерално министарство за пољопривреду, водопривреду и 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lastRenderedPageBreak/>
        <w:t xml:space="preserve">шумарство и Министарство пољопривреде, шумарства и водопривреде Републике Српске). </w:t>
      </w:r>
    </w:p>
    <w:p w:rsidR="002C3675" w:rsidRPr="002C3675" w:rsidRDefault="002C3675" w:rsidP="003A23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Унутар Пројекта формиране су четири експертне групе које су покривале области хидрогеологије, социоекономије, правног и институционалног оквира и учешћа јавности, а у чијем раду учествују експерти из четири земље  укључене у Пројекат. Директним учешћем експерата, БиХ је била укључена у оперативни рад </w:t>
      </w:r>
      <w:r w:rsidRPr="002C3675">
        <w:rPr>
          <w:rFonts w:ascii="Arial" w:eastAsia="Times New Roman" w:hAnsi="Arial" w:cs="Arial"/>
          <w:noProof/>
          <w:sz w:val="23"/>
          <w:szCs w:val="23"/>
          <w:lang w:val="sr-Latn-RS" w:eastAsia="bs-Latn-BA"/>
        </w:rPr>
        <w:t>DIKTAS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-а.</w:t>
      </w:r>
    </w:p>
    <w:p w:rsidR="002C3675" w:rsidRPr="002C3675" w:rsidRDefault="002C3675" w:rsidP="003A23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noProof/>
          <w:color w:val="2E74B5" w:themeColor="accent1" w:themeShade="BF"/>
          <w:sz w:val="23"/>
          <w:szCs w:val="23"/>
          <w:lang w:val="sr-Cyrl-RS" w:eastAsia="bs-Latn-BA"/>
        </w:rPr>
      </w:pPr>
      <w:r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Кроз П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ројекат, током 2013. године завршен је документ „Прекогранична дијагностичка анализа - </w:t>
      </w:r>
      <w:r w:rsidRPr="002C3675">
        <w:rPr>
          <w:rFonts w:ascii="Arial" w:eastAsia="Times New Roman" w:hAnsi="Arial" w:cs="Arial"/>
          <w:noProof/>
          <w:sz w:val="23"/>
          <w:szCs w:val="23"/>
          <w:lang w:val="sr-Latn-RS" w:eastAsia="bs-Latn-BA"/>
        </w:rPr>
        <w:t>Transboundary Diagnostic Analysis (TDA</w:t>
      </w: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 xml:space="preserve">)“. У овом документу су утврђени прекогранични проблеми, као и опције за интервенцију у циљу рјешавања предложених националних и прекограничних проблема. Овим документом започео је процес кооперативне припреме Стратешког акционог плана (САП) међу земљама. САП је припремљен и  прихваћен од земаља корисница. Документ можете преузети </w:t>
      </w:r>
      <w:r w:rsidRPr="002C3675">
        <w:rPr>
          <w:rFonts w:ascii="Arial" w:eastAsia="Times New Roman" w:hAnsi="Arial" w:cs="Arial"/>
          <w:b/>
          <w:noProof/>
          <w:color w:val="2E74B5" w:themeColor="accent1" w:themeShade="BF"/>
          <w:sz w:val="23"/>
          <w:szCs w:val="23"/>
          <w:u w:val="single"/>
          <w:lang w:val="sr-Cyrl-RS" w:eastAsia="bs-Latn-BA"/>
        </w:rPr>
        <w:t>овдје.</w:t>
      </w:r>
    </w:p>
    <w:p w:rsidR="002C3675" w:rsidRPr="003A2368" w:rsidRDefault="002C3675" w:rsidP="003A23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</w:pPr>
      <w:r w:rsidRPr="002C3675">
        <w:rPr>
          <w:rFonts w:ascii="Arial" w:eastAsia="Times New Roman" w:hAnsi="Arial" w:cs="Arial"/>
          <w:noProof/>
          <w:sz w:val="23"/>
          <w:szCs w:val="23"/>
          <w:lang w:val="sr-Cyrl-RS" w:eastAsia="bs-Latn-BA"/>
        </w:rPr>
        <w:t>Пројекат је завршен 30. јуна 2015. године.</w:t>
      </w:r>
    </w:p>
    <w:sectPr w:rsidR="002C3675" w:rsidRPr="003A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7C0C"/>
    <w:multiLevelType w:val="multilevel"/>
    <w:tmpl w:val="62FA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F6BFA"/>
    <w:multiLevelType w:val="hybridMultilevel"/>
    <w:tmpl w:val="577EF7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B"/>
    <w:rsid w:val="00051EB1"/>
    <w:rsid w:val="000610D3"/>
    <w:rsid w:val="002B602B"/>
    <w:rsid w:val="002C3675"/>
    <w:rsid w:val="00466806"/>
    <w:rsid w:val="005A690A"/>
    <w:rsid w:val="00774357"/>
    <w:rsid w:val="00B36FBA"/>
    <w:rsid w:val="00B910F7"/>
    <w:rsid w:val="00C738A5"/>
    <w:rsid w:val="00DC7178"/>
    <w:rsid w:val="00DE53D6"/>
    <w:rsid w:val="00DF66EE"/>
    <w:rsid w:val="00E17DD3"/>
    <w:rsid w:val="00F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BB758-1E4D-4427-AF9D-1C59D34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37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9" w:color="CCCCCC"/>
                                    <w:right w:val="none" w:sz="0" w:space="0" w:color="auto"/>
                                  </w:divBdr>
                                  <w:divsChild>
                                    <w:div w:id="2884406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266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9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256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1495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7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e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dp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Darko Stjepanovic</cp:lastModifiedBy>
  <cp:revision>17</cp:revision>
  <dcterms:created xsi:type="dcterms:W3CDTF">2017-12-01T12:16:00Z</dcterms:created>
  <dcterms:modified xsi:type="dcterms:W3CDTF">2017-12-16T13:00:00Z</dcterms:modified>
</cp:coreProperties>
</file>